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481A" w14:textId="77777777" w:rsidR="00D104A6" w:rsidRPr="002E4B2F" w:rsidRDefault="002E4B2F" w:rsidP="002E4B2F">
      <w:pPr>
        <w:spacing w:line="259" w:lineRule="auto"/>
        <w:ind w:left="0" w:firstLine="0"/>
        <w:jc w:val="both"/>
      </w:pPr>
      <w:r w:rsidRPr="002E4B2F">
        <w:rPr>
          <w:rFonts w:eastAsia="Century Gothic"/>
          <w:sz w:val="6"/>
        </w:rPr>
        <w:t xml:space="preserve"> </w:t>
      </w:r>
    </w:p>
    <w:p w14:paraId="78900E65" w14:textId="77777777" w:rsidR="00D104A6" w:rsidRPr="002E4B2F" w:rsidRDefault="002E4B2F" w:rsidP="002E4B2F">
      <w:pPr>
        <w:spacing w:line="259" w:lineRule="auto"/>
        <w:ind w:left="0" w:firstLine="0"/>
        <w:jc w:val="both"/>
      </w:pPr>
      <w:r w:rsidRPr="002E4B2F">
        <w:rPr>
          <w:rFonts w:eastAsia="Century Gothic"/>
          <w:sz w:val="6"/>
        </w:rPr>
        <w:t xml:space="preserve"> </w:t>
      </w:r>
    </w:p>
    <w:p w14:paraId="498529AF" w14:textId="77777777" w:rsidR="00D104A6" w:rsidRPr="002E4B2F" w:rsidRDefault="002E4B2F" w:rsidP="002E4B2F">
      <w:pPr>
        <w:spacing w:line="259" w:lineRule="auto"/>
        <w:ind w:left="0" w:firstLine="0"/>
        <w:jc w:val="both"/>
      </w:pPr>
      <w:r w:rsidRPr="002E4B2F">
        <w:rPr>
          <w:rFonts w:eastAsia="Century Gothic"/>
          <w:sz w:val="6"/>
        </w:rPr>
        <w:t xml:space="preserve"> </w:t>
      </w:r>
    </w:p>
    <w:tbl>
      <w:tblPr>
        <w:tblStyle w:val="TableGrid"/>
        <w:tblW w:w="10759" w:type="dxa"/>
        <w:tblInd w:w="-91" w:type="dxa"/>
        <w:tblCellMar>
          <w:top w:w="12" w:type="dxa"/>
          <w:left w:w="70" w:type="dxa"/>
          <w:bottom w:w="4" w:type="dxa"/>
          <w:right w:w="14" w:type="dxa"/>
        </w:tblCellMar>
        <w:tblLook w:val="04A0" w:firstRow="1" w:lastRow="0" w:firstColumn="1" w:lastColumn="0" w:noHBand="0" w:noVBand="1"/>
      </w:tblPr>
      <w:tblGrid>
        <w:gridCol w:w="1688"/>
        <w:gridCol w:w="5910"/>
        <w:gridCol w:w="1553"/>
        <w:gridCol w:w="1608"/>
      </w:tblGrid>
      <w:tr w:rsidR="00D104A6" w:rsidRPr="002E4B2F" w14:paraId="09944742" w14:textId="77777777">
        <w:trPr>
          <w:trHeight w:val="322"/>
        </w:trPr>
        <w:tc>
          <w:tcPr>
            <w:tcW w:w="1688" w:type="dxa"/>
            <w:vMerge w:val="restart"/>
            <w:tcBorders>
              <w:top w:val="double" w:sz="4" w:space="0" w:color="000000"/>
              <w:left w:val="double" w:sz="4" w:space="0" w:color="000000"/>
              <w:bottom w:val="double" w:sz="4" w:space="0" w:color="000000"/>
              <w:right w:val="double" w:sz="4" w:space="0" w:color="000000"/>
            </w:tcBorders>
            <w:vAlign w:val="bottom"/>
          </w:tcPr>
          <w:p w14:paraId="149CF51F" w14:textId="77777777" w:rsidR="00D104A6" w:rsidRPr="002E4B2F" w:rsidRDefault="002E4B2F" w:rsidP="002E4B2F">
            <w:pPr>
              <w:spacing w:line="259" w:lineRule="auto"/>
              <w:ind w:left="0" w:firstLine="0"/>
              <w:jc w:val="both"/>
            </w:pPr>
            <w:r w:rsidRPr="002E4B2F">
              <w:rPr>
                <w:noProof/>
              </w:rPr>
              <w:drawing>
                <wp:inline distT="0" distB="0" distL="0" distR="0" wp14:anchorId="1429103C" wp14:editId="06609090">
                  <wp:extent cx="981075" cy="75311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981075" cy="753110"/>
                          </a:xfrm>
                          <a:prstGeom prst="rect">
                            <a:avLst/>
                          </a:prstGeom>
                        </pic:spPr>
                      </pic:pic>
                    </a:graphicData>
                  </a:graphic>
                </wp:inline>
              </w:drawing>
            </w:r>
            <w:r w:rsidRPr="002E4B2F">
              <w:rPr>
                <w:rFonts w:eastAsia="Century Gothic"/>
                <w:sz w:val="20"/>
              </w:rPr>
              <w:t xml:space="preserve"> </w:t>
            </w:r>
          </w:p>
        </w:tc>
        <w:tc>
          <w:tcPr>
            <w:tcW w:w="5910" w:type="dxa"/>
            <w:vMerge w:val="restart"/>
            <w:tcBorders>
              <w:top w:val="double" w:sz="4" w:space="0" w:color="000000"/>
              <w:left w:val="double" w:sz="4" w:space="0" w:color="000000"/>
              <w:bottom w:val="double" w:sz="4" w:space="0" w:color="000000"/>
              <w:right w:val="double" w:sz="4" w:space="0" w:color="000000"/>
            </w:tcBorders>
            <w:vAlign w:val="center"/>
          </w:tcPr>
          <w:p w14:paraId="2F8A6220" w14:textId="6FA71A8A" w:rsidR="004E34BF" w:rsidRDefault="004E34BF" w:rsidP="004E34BF">
            <w:pPr>
              <w:spacing w:line="259" w:lineRule="auto"/>
              <w:ind w:left="0" w:right="58" w:firstLine="0"/>
              <w:jc w:val="center"/>
            </w:pPr>
            <w:r>
              <w:rPr>
                <w:b/>
                <w:sz w:val="32"/>
              </w:rPr>
              <w:t>YOZGAT BOZOK ÜNİVERSİTESİ</w:t>
            </w:r>
          </w:p>
          <w:p w14:paraId="5D75A6E9" w14:textId="78B210D2" w:rsidR="00D104A6" w:rsidRPr="002E4B2F" w:rsidRDefault="004E34BF" w:rsidP="004E34BF">
            <w:pPr>
              <w:spacing w:line="259" w:lineRule="auto"/>
              <w:ind w:left="0" w:firstLine="0"/>
              <w:jc w:val="center"/>
            </w:pPr>
            <w:r>
              <w:rPr>
                <w:b/>
                <w:sz w:val="28"/>
              </w:rPr>
              <w:t>BÖLÜMLER SEKRETERİ GÖREV TANIMI</w:t>
            </w:r>
          </w:p>
        </w:tc>
        <w:tc>
          <w:tcPr>
            <w:tcW w:w="1553" w:type="dxa"/>
            <w:tcBorders>
              <w:top w:val="double" w:sz="4" w:space="0" w:color="000000"/>
              <w:left w:val="double" w:sz="4" w:space="0" w:color="000000"/>
              <w:bottom w:val="dashed" w:sz="4" w:space="0" w:color="000000"/>
              <w:right w:val="single" w:sz="8" w:space="0" w:color="000000"/>
            </w:tcBorders>
          </w:tcPr>
          <w:p w14:paraId="05911CC1" w14:textId="77777777" w:rsidR="00D104A6" w:rsidRPr="002E4B2F" w:rsidRDefault="002E4B2F" w:rsidP="002E4B2F">
            <w:pPr>
              <w:spacing w:line="259" w:lineRule="auto"/>
              <w:ind w:left="2" w:firstLine="0"/>
              <w:jc w:val="both"/>
            </w:pPr>
            <w:r w:rsidRPr="002E4B2F">
              <w:rPr>
                <w:sz w:val="18"/>
              </w:rPr>
              <w:t>Doküman Kodu</w:t>
            </w:r>
            <w:r w:rsidRPr="002E4B2F">
              <w:rPr>
                <w:b/>
                <w:sz w:val="18"/>
              </w:rPr>
              <w:t xml:space="preserve"> </w:t>
            </w:r>
          </w:p>
        </w:tc>
        <w:tc>
          <w:tcPr>
            <w:tcW w:w="1608" w:type="dxa"/>
            <w:tcBorders>
              <w:top w:val="double" w:sz="4" w:space="0" w:color="000000"/>
              <w:left w:val="single" w:sz="8" w:space="0" w:color="000000"/>
              <w:bottom w:val="dashed" w:sz="4" w:space="0" w:color="000000"/>
              <w:right w:val="double" w:sz="4" w:space="0" w:color="000000"/>
            </w:tcBorders>
          </w:tcPr>
          <w:p w14:paraId="2B08BF01" w14:textId="77777777" w:rsidR="00D104A6" w:rsidRPr="002E4B2F" w:rsidRDefault="002E4B2F" w:rsidP="002E4B2F">
            <w:pPr>
              <w:spacing w:line="259" w:lineRule="auto"/>
              <w:ind w:left="0" w:firstLine="0"/>
              <w:jc w:val="both"/>
            </w:pPr>
            <w:r w:rsidRPr="002E4B2F">
              <w:rPr>
                <w:b/>
                <w:sz w:val="18"/>
              </w:rPr>
              <w:t xml:space="preserve">KYS-GVR-122 </w:t>
            </w:r>
          </w:p>
        </w:tc>
      </w:tr>
      <w:tr w:rsidR="00D104A6" w:rsidRPr="002E4B2F" w14:paraId="58EE800B" w14:textId="77777777">
        <w:trPr>
          <w:trHeight w:val="310"/>
        </w:trPr>
        <w:tc>
          <w:tcPr>
            <w:tcW w:w="0" w:type="auto"/>
            <w:vMerge/>
            <w:tcBorders>
              <w:top w:val="nil"/>
              <w:left w:val="double" w:sz="4" w:space="0" w:color="000000"/>
              <w:bottom w:val="nil"/>
              <w:right w:val="double" w:sz="4" w:space="0" w:color="000000"/>
            </w:tcBorders>
          </w:tcPr>
          <w:p w14:paraId="187E63CE" w14:textId="77777777" w:rsidR="00D104A6" w:rsidRPr="002E4B2F" w:rsidRDefault="00D104A6" w:rsidP="002E4B2F">
            <w:pPr>
              <w:spacing w:after="160" w:line="259" w:lineRule="auto"/>
              <w:ind w:left="0" w:firstLine="0"/>
              <w:jc w:val="both"/>
            </w:pPr>
          </w:p>
        </w:tc>
        <w:tc>
          <w:tcPr>
            <w:tcW w:w="0" w:type="auto"/>
            <w:vMerge/>
            <w:tcBorders>
              <w:top w:val="nil"/>
              <w:left w:val="double" w:sz="4" w:space="0" w:color="000000"/>
              <w:bottom w:val="nil"/>
              <w:right w:val="double" w:sz="4" w:space="0" w:color="000000"/>
            </w:tcBorders>
          </w:tcPr>
          <w:p w14:paraId="43C78B7C" w14:textId="77777777" w:rsidR="00D104A6" w:rsidRPr="002E4B2F" w:rsidRDefault="00D104A6" w:rsidP="002E4B2F">
            <w:pPr>
              <w:spacing w:after="160" w:line="259" w:lineRule="auto"/>
              <w:ind w:left="0" w:firstLine="0"/>
              <w:jc w:val="both"/>
            </w:pPr>
          </w:p>
        </w:tc>
        <w:tc>
          <w:tcPr>
            <w:tcW w:w="1553" w:type="dxa"/>
            <w:tcBorders>
              <w:top w:val="dashed" w:sz="4" w:space="0" w:color="000000"/>
              <w:left w:val="double" w:sz="4" w:space="0" w:color="000000"/>
              <w:bottom w:val="dashed" w:sz="4" w:space="0" w:color="000000"/>
              <w:right w:val="single" w:sz="8" w:space="0" w:color="000000"/>
            </w:tcBorders>
          </w:tcPr>
          <w:p w14:paraId="593EEFFC" w14:textId="77777777" w:rsidR="00D104A6" w:rsidRPr="002E4B2F" w:rsidRDefault="002E4B2F" w:rsidP="002E4B2F">
            <w:pPr>
              <w:spacing w:line="259" w:lineRule="auto"/>
              <w:ind w:left="2" w:firstLine="0"/>
              <w:jc w:val="both"/>
            </w:pPr>
            <w:r w:rsidRPr="002E4B2F">
              <w:rPr>
                <w:sz w:val="18"/>
              </w:rPr>
              <w:t>Yürürlük Tarihi</w:t>
            </w:r>
            <w:r w:rsidRPr="002E4B2F">
              <w:rPr>
                <w:b/>
                <w:sz w:val="18"/>
              </w:rPr>
              <w:t xml:space="preserve"> </w:t>
            </w:r>
          </w:p>
        </w:tc>
        <w:tc>
          <w:tcPr>
            <w:tcW w:w="1608" w:type="dxa"/>
            <w:tcBorders>
              <w:top w:val="dashed" w:sz="4" w:space="0" w:color="000000"/>
              <w:left w:val="single" w:sz="8" w:space="0" w:color="000000"/>
              <w:bottom w:val="dashed" w:sz="4" w:space="0" w:color="000000"/>
              <w:right w:val="double" w:sz="4" w:space="0" w:color="000000"/>
            </w:tcBorders>
          </w:tcPr>
          <w:p w14:paraId="5E896B84" w14:textId="52AF8A74" w:rsidR="00D104A6" w:rsidRPr="002E4B2F" w:rsidRDefault="002E4B2F" w:rsidP="002E4B2F">
            <w:pPr>
              <w:spacing w:line="259" w:lineRule="auto"/>
              <w:ind w:left="0" w:firstLine="0"/>
              <w:jc w:val="both"/>
            </w:pPr>
            <w:r w:rsidRPr="002E4B2F">
              <w:rPr>
                <w:b/>
                <w:sz w:val="18"/>
              </w:rPr>
              <w:t xml:space="preserve"> </w:t>
            </w:r>
          </w:p>
        </w:tc>
      </w:tr>
      <w:tr w:rsidR="00D104A6" w:rsidRPr="002E4B2F" w14:paraId="19BF67B1" w14:textId="77777777">
        <w:trPr>
          <w:trHeight w:val="425"/>
        </w:trPr>
        <w:tc>
          <w:tcPr>
            <w:tcW w:w="0" w:type="auto"/>
            <w:vMerge/>
            <w:tcBorders>
              <w:top w:val="nil"/>
              <w:left w:val="double" w:sz="4" w:space="0" w:color="000000"/>
              <w:bottom w:val="nil"/>
              <w:right w:val="double" w:sz="4" w:space="0" w:color="000000"/>
            </w:tcBorders>
          </w:tcPr>
          <w:p w14:paraId="50B2FEB6" w14:textId="77777777" w:rsidR="00D104A6" w:rsidRPr="002E4B2F" w:rsidRDefault="00D104A6" w:rsidP="002E4B2F">
            <w:pPr>
              <w:spacing w:after="160" w:line="259" w:lineRule="auto"/>
              <w:ind w:left="0" w:firstLine="0"/>
              <w:jc w:val="both"/>
            </w:pPr>
          </w:p>
        </w:tc>
        <w:tc>
          <w:tcPr>
            <w:tcW w:w="0" w:type="auto"/>
            <w:vMerge/>
            <w:tcBorders>
              <w:top w:val="nil"/>
              <w:left w:val="double" w:sz="4" w:space="0" w:color="000000"/>
              <w:bottom w:val="nil"/>
              <w:right w:val="double" w:sz="4" w:space="0" w:color="000000"/>
            </w:tcBorders>
          </w:tcPr>
          <w:p w14:paraId="7DE2685A" w14:textId="77777777" w:rsidR="00D104A6" w:rsidRPr="002E4B2F" w:rsidRDefault="00D104A6" w:rsidP="002E4B2F">
            <w:pPr>
              <w:spacing w:after="160" w:line="259" w:lineRule="auto"/>
              <w:ind w:left="0" w:firstLine="0"/>
              <w:jc w:val="both"/>
            </w:pPr>
          </w:p>
        </w:tc>
        <w:tc>
          <w:tcPr>
            <w:tcW w:w="1553" w:type="dxa"/>
            <w:tcBorders>
              <w:top w:val="dashed" w:sz="4" w:space="0" w:color="000000"/>
              <w:left w:val="double" w:sz="4" w:space="0" w:color="000000"/>
              <w:bottom w:val="dashed" w:sz="4" w:space="0" w:color="000000"/>
              <w:right w:val="single" w:sz="8" w:space="0" w:color="000000"/>
            </w:tcBorders>
          </w:tcPr>
          <w:p w14:paraId="71CA3589" w14:textId="77777777" w:rsidR="00D104A6" w:rsidRPr="002E4B2F" w:rsidRDefault="002E4B2F" w:rsidP="002E4B2F">
            <w:pPr>
              <w:spacing w:line="259" w:lineRule="auto"/>
              <w:ind w:left="2" w:right="19" w:firstLine="0"/>
              <w:jc w:val="both"/>
            </w:pPr>
            <w:r w:rsidRPr="002E4B2F">
              <w:rPr>
                <w:sz w:val="18"/>
              </w:rPr>
              <w:t>Revizyon Tarihi/No</w:t>
            </w:r>
            <w:r w:rsidRPr="002E4B2F">
              <w:rPr>
                <w:b/>
                <w:sz w:val="18"/>
              </w:rPr>
              <w:t xml:space="preserve"> </w:t>
            </w:r>
          </w:p>
        </w:tc>
        <w:tc>
          <w:tcPr>
            <w:tcW w:w="1608" w:type="dxa"/>
            <w:tcBorders>
              <w:top w:val="dashed" w:sz="4" w:space="0" w:color="000000"/>
              <w:left w:val="single" w:sz="8" w:space="0" w:color="000000"/>
              <w:bottom w:val="dashed" w:sz="4" w:space="0" w:color="000000"/>
              <w:right w:val="double" w:sz="4" w:space="0" w:color="000000"/>
            </w:tcBorders>
            <w:vAlign w:val="center"/>
          </w:tcPr>
          <w:p w14:paraId="7574B7E3" w14:textId="6E03E813" w:rsidR="00D104A6" w:rsidRPr="002E4B2F" w:rsidRDefault="00204117" w:rsidP="00204117">
            <w:pPr>
              <w:spacing w:line="480" w:lineRule="auto"/>
              <w:ind w:left="0" w:firstLine="0"/>
              <w:jc w:val="both"/>
            </w:pPr>
            <w:r w:rsidRPr="002E4B2F">
              <w:rPr>
                <w:b/>
                <w:sz w:val="18"/>
              </w:rPr>
              <w:t>01.01.2025</w:t>
            </w:r>
          </w:p>
        </w:tc>
      </w:tr>
      <w:tr w:rsidR="00D104A6" w:rsidRPr="002E4B2F" w14:paraId="0D6DEFA0" w14:textId="77777777">
        <w:trPr>
          <w:trHeight w:val="319"/>
        </w:trPr>
        <w:tc>
          <w:tcPr>
            <w:tcW w:w="0" w:type="auto"/>
            <w:vMerge/>
            <w:tcBorders>
              <w:top w:val="nil"/>
              <w:left w:val="double" w:sz="4" w:space="0" w:color="000000"/>
              <w:bottom w:val="double" w:sz="4" w:space="0" w:color="000000"/>
              <w:right w:val="double" w:sz="4" w:space="0" w:color="000000"/>
            </w:tcBorders>
          </w:tcPr>
          <w:p w14:paraId="5EF9BE40" w14:textId="77777777" w:rsidR="00D104A6" w:rsidRPr="002E4B2F" w:rsidRDefault="00D104A6" w:rsidP="002E4B2F">
            <w:pPr>
              <w:spacing w:after="160" w:line="259" w:lineRule="auto"/>
              <w:ind w:left="0" w:firstLine="0"/>
              <w:jc w:val="both"/>
            </w:pPr>
          </w:p>
        </w:tc>
        <w:tc>
          <w:tcPr>
            <w:tcW w:w="0" w:type="auto"/>
            <w:vMerge/>
            <w:tcBorders>
              <w:top w:val="nil"/>
              <w:left w:val="double" w:sz="4" w:space="0" w:color="000000"/>
              <w:bottom w:val="double" w:sz="4" w:space="0" w:color="000000"/>
              <w:right w:val="double" w:sz="4" w:space="0" w:color="000000"/>
            </w:tcBorders>
          </w:tcPr>
          <w:p w14:paraId="2E048BFF" w14:textId="77777777" w:rsidR="00D104A6" w:rsidRPr="002E4B2F" w:rsidRDefault="00D104A6" w:rsidP="002E4B2F">
            <w:pPr>
              <w:spacing w:after="160" w:line="259" w:lineRule="auto"/>
              <w:ind w:left="0" w:firstLine="0"/>
              <w:jc w:val="both"/>
            </w:pPr>
          </w:p>
        </w:tc>
        <w:tc>
          <w:tcPr>
            <w:tcW w:w="1553" w:type="dxa"/>
            <w:tcBorders>
              <w:top w:val="dashed" w:sz="4" w:space="0" w:color="000000"/>
              <w:left w:val="double" w:sz="4" w:space="0" w:color="000000"/>
              <w:bottom w:val="double" w:sz="4" w:space="0" w:color="000000"/>
              <w:right w:val="single" w:sz="8" w:space="0" w:color="000000"/>
            </w:tcBorders>
          </w:tcPr>
          <w:p w14:paraId="7F7B7AF1" w14:textId="77777777" w:rsidR="00D104A6" w:rsidRPr="002E4B2F" w:rsidRDefault="002E4B2F" w:rsidP="002E4B2F">
            <w:pPr>
              <w:spacing w:line="259" w:lineRule="auto"/>
              <w:ind w:left="2" w:firstLine="0"/>
              <w:jc w:val="both"/>
            </w:pPr>
            <w:r w:rsidRPr="002E4B2F">
              <w:rPr>
                <w:sz w:val="18"/>
              </w:rPr>
              <w:t>Baskı No</w:t>
            </w:r>
            <w:r w:rsidRPr="002E4B2F">
              <w:rPr>
                <w:b/>
                <w:sz w:val="18"/>
              </w:rPr>
              <w:t xml:space="preserve"> </w:t>
            </w:r>
          </w:p>
        </w:tc>
        <w:tc>
          <w:tcPr>
            <w:tcW w:w="1608" w:type="dxa"/>
            <w:tcBorders>
              <w:top w:val="dashed" w:sz="4" w:space="0" w:color="000000"/>
              <w:left w:val="single" w:sz="8" w:space="0" w:color="000000"/>
              <w:bottom w:val="double" w:sz="4" w:space="0" w:color="000000"/>
              <w:right w:val="double" w:sz="4" w:space="0" w:color="000000"/>
            </w:tcBorders>
          </w:tcPr>
          <w:p w14:paraId="3F28706E" w14:textId="77777777" w:rsidR="00D104A6" w:rsidRPr="002E4B2F" w:rsidRDefault="002E4B2F" w:rsidP="002E4B2F">
            <w:pPr>
              <w:spacing w:line="259" w:lineRule="auto"/>
              <w:ind w:left="0" w:firstLine="0"/>
              <w:jc w:val="both"/>
            </w:pPr>
            <w:r w:rsidRPr="002E4B2F">
              <w:rPr>
                <w:b/>
                <w:sz w:val="18"/>
              </w:rPr>
              <w:t xml:space="preserve"> </w:t>
            </w:r>
          </w:p>
        </w:tc>
      </w:tr>
    </w:tbl>
    <w:p w14:paraId="3F824D33" w14:textId="0AFE9595" w:rsidR="00D96FBF" w:rsidRPr="002E4B2F" w:rsidRDefault="002E4B2F" w:rsidP="002E4B2F">
      <w:pPr>
        <w:spacing w:line="259" w:lineRule="auto"/>
        <w:ind w:left="0" w:firstLine="0"/>
        <w:jc w:val="both"/>
      </w:pPr>
      <w:r w:rsidRPr="002E4B2F">
        <w:rPr>
          <w:sz w:val="8"/>
        </w:rPr>
        <w:t xml:space="preserve"> </w:t>
      </w:r>
    </w:p>
    <w:tbl>
      <w:tblPr>
        <w:tblW w:w="107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3"/>
      </w:tblGrid>
      <w:tr w:rsidR="002E4B2F" w14:paraId="4A07A715" w14:textId="77777777" w:rsidTr="002E4B2F">
        <w:trPr>
          <w:trHeight w:val="12593"/>
        </w:trPr>
        <w:tc>
          <w:tcPr>
            <w:tcW w:w="10783" w:type="dxa"/>
            <w:tcBorders>
              <w:top w:val="double" w:sz="4" w:space="0" w:color="auto"/>
              <w:left w:val="double" w:sz="4" w:space="0" w:color="auto"/>
              <w:bottom w:val="double" w:sz="4" w:space="0" w:color="auto"/>
              <w:right w:val="double" w:sz="4" w:space="0" w:color="auto"/>
            </w:tcBorders>
          </w:tcPr>
          <w:p w14:paraId="412D8B55" w14:textId="20DEF652" w:rsidR="004E34BF" w:rsidRDefault="004E34BF" w:rsidP="004E34BF">
            <w:pPr>
              <w:tabs>
                <w:tab w:val="center" w:pos="6523"/>
              </w:tabs>
              <w:ind w:left="-15" w:firstLine="0"/>
            </w:pPr>
            <w:r>
              <w:rPr>
                <w:b/>
              </w:rPr>
              <w:t xml:space="preserve">ORGANİZASYONDAKİ YERİ </w:t>
            </w:r>
            <w:r>
              <w:rPr>
                <w:b/>
              </w:rPr>
              <w:tab/>
              <w:t xml:space="preserve">: </w:t>
            </w:r>
            <w:r>
              <w:t>Fakülte /Yüksekokul /</w:t>
            </w:r>
            <w:r w:rsidR="00E715C6">
              <w:t>Enstitü Sekreterine</w:t>
            </w:r>
            <w:r>
              <w:t xml:space="preserve"> bağlı görev yapar. </w:t>
            </w:r>
          </w:p>
          <w:p w14:paraId="0B4709CF" w14:textId="77777777" w:rsidR="004E34BF" w:rsidRDefault="004E34BF" w:rsidP="004E34BF">
            <w:pPr>
              <w:spacing w:after="26" w:line="259" w:lineRule="auto"/>
              <w:ind w:left="0" w:firstLine="0"/>
            </w:pPr>
            <w:r>
              <w:t xml:space="preserve"> </w:t>
            </w:r>
          </w:p>
          <w:p w14:paraId="3F4FFA14" w14:textId="77777777" w:rsidR="004E34BF" w:rsidRDefault="004E34BF" w:rsidP="004E34BF">
            <w:pPr>
              <w:spacing w:line="259" w:lineRule="auto"/>
              <w:ind w:left="0" w:firstLine="0"/>
            </w:pPr>
            <w:r>
              <w:rPr>
                <w:b/>
              </w:rPr>
              <w:t xml:space="preserve">GÖREV, YETKİ VE SORUMLULUKLARI: </w:t>
            </w:r>
          </w:p>
          <w:p w14:paraId="7A39ADB9" w14:textId="77777777" w:rsidR="004E34BF" w:rsidRDefault="004E34BF" w:rsidP="004E34BF">
            <w:pPr>
              <w:spacing w:after="37" w:line="259" w:lineRule="auto"/>
              <w:ind w:left="0" w:firstLine="0"/>
            </w:pPr>
            <w:r>
              <w:rPr>
                <w:b/>
              </w:rPr>
              <w:t xml:space="preserve"> </w:t>
            </w:r>
          </w:p>
          <w:p w14:paraId="11CA97F5" w14:textId="77777777" w:rsidR="004E34BF" w:rsidRPr="00E364DF" w:rsidRDefault="004E34BF" w:rsidP="004E34BF">
            <w:pPr>
              <w:spacing w:line="259" w:lineRule="auto"/>
              <w:ind w:left="0" w:firstLine="0"/>
              <w:jc w:val="both"/>
              <w:rPr>
                <w:szCs w:val="24"/>
              </w:rPr>
            </w:pPr>
            <w:r w:rsidRPr="00E364DF">
              <w:rPr>
                <w:szCs w:val="24"/>
              </w:rPr>
              <w:t>•EBYS üzerinden gelen-giden evrakları takip eder, sonuçlandırır, ilgili kişi veya birimlere teslim eder ve dosyalar. Bölümü ile ilgili Yazışmaları yapar.</w:t>
            </w:r>
          </w:p>
          <w:p w14:paraId="24344E53" w14:textId="77777777" w:rsidR="004E34BF" w:rsidRPr="00E364DF" w:rsidRDefault="004E34BF" w:rsidP="004E34BF">
            <w:pPr>
              <w:spacing w:line="259" w:lineRule="auto"/>
              <w:ind w:left="0" w:firstLine="0"/>
              <w:jc w:val="both"/>
              <w:rPr>
                <w:szCs w:val="24"/>
              </w:rPr>
            </w:pPr>
            <w:r w:rsidRPr="00E364DF">
              <w:rPr>
                <w:szCs w:val="24"/>
              </w:rPr>
              <w:t>•Bölüm Kurulu /Akademik Kurul / Anabilim Dalı Kurulu /Akademik Anabilim Dalı Kurul toplantılarında raportörlük görevi yapar ve kurul kararlarını Bölüm Başkanın gözetiminde yazar ve ilgisine göre Müdürlüğe/Dekanlığa/Enstitüye bildirir.</w:t>
            </w:r>
          </w:p>
          <w:p w14:paraId="05AD8219" w14:textId="77777777" w:rsidR="004E34BF" w:rsidRPr="00E364DF" w:rsidRDefault="004E34BF" w:rsidP="004E34BF">
            <w:pPr>
              <w:spacing w:line="259" w:lineRule="auto"/>
              <w:ind w:left="0" w:firstLine="0"/>
              <w:jc w:val="both"/>
              <w:rPr>
                <w:szCs w:val="24"/>
              </w:rPr>
            </w:pPr>
            <w:r w:rsidRPr="00E364DF">
              <w:rPr>
                <w:szCs w:val="24"/>
              </w:rPr>
              <w:t xml:space="preserve">•Sınav programları üst yazıyla Dekanlığa bildirir. </w:t>
            </w:r>
          </w:p>
          <w:p w14:paraId="6C64B88B" w14:textId="77777777" w:rsidR="004E34BF" w:rsidRPr="00E364DF" w:rsidRDefault="004E34BF" w:rsidP="004E34BF">
            <w:pPr>
              <w:spacing w:line="259" w:lineRule="auto"/>
              <w:ind w:left="0" w:firstLine="0"/>
              <w:jc w:val="both"/>
              <w:rPr>
                <w:szCs w:val="24"/>
              </w:rPr>
            </w:pPr>
            <w:r w:rsidRPr="00E364DF">
              <w:rPr>
                <w:szCs w:val="24"/>
              </w:rPr>
              <w:t>•Haftalık ders programları üst yazıyla Dekanlığa bildirilir.</w:t>
            </w:r>
          </w:p>
          <w:p w14:paraId="6F08A6ED" w14:textId="38D26E56" w:rsidR="004E34BF" w:rsidRPr="00E364DF" w:rsidRDefault="004E34BF" w:rsidP="004E34BF">
            <w:pPr>
              <w:spacing w:line="259" w:lineRule="auto"/>
              <w:ind w:left="0" w:firstLine="0"/>
              <w:jc w:val="both"/>
              <w:rPr>
                <w:szCs w:val="24"/>
              </w:rPr>
            </w:pPr>
            <w:r w:rsidRPr="00E364DF">
              <w:rPr>
                <w:szCs w:val="24"/>
              </w:rPr>
              <w:t>•Yeni</w:t>
            </w:r>
            <w:r w:rsidR="00AC0F7B">
              <w:rPr>
                <w:szCs w:val="24"/>
              </w:rPr>
              <w:t xml:space="preserve"> </w:t>
            </w:r>
            <w:r w:rsidRPr="00E364DF">
              <w:rPr>
                <w:szCs w:val="24"/>
              </w:rPr>
              <w:t>kadro atamalarında öğretim elemanlarının göreve başlama durumunu üst yazıyla müdürlüğe/dekanlığa/enstitü müdürlüğüne bildirir.</w:t>
            </w:r>
          </w:p>
          <w:p w14:paraId="39F8CACF" w14:textId="77777777" w:rsidR="004E34BF" w:rsidRPr="00E364DF" w:rsidRDefault="004E34BF" w:rsidP="004E34BF">
            <w:pPr>
              <w:spacing w:line="259" w:lineRule="auto"/>
              <w:ind w:left="0" w:firstLine="0"/>
              <w:jc w:val="both"/>
              <w:rPr>
                <w:szCs w:val="24"/>
              </w:rPr>
            </w:pPr>
            <w:r w:rsidRPr="00E364DF">
              <w:rPr>
                <w:szCs w:val="24"/>
              </w:rPr>
              <w:t>•Her dönem başında, ders yükleri, açık ders görevlendirmeleri, yarıyıllık ders planları, görevlendirme değişikliği, ders değişikliği, dersin gruplara –şubelere ayrılması, okul deneyimi ve öğretmenlik uygulaması işlemlerini yapmak ve konuya ilişkin alınan bölüm kurul kararını dekanlığa/müdürlüğe iletir ve ayrıca öğrenci işleri otomasyon programına tanımlar.</w:t>
            </w:r>
          </w:p>
          <w:p w14:paraId="188932A8" w14:textId="77777777" w:rsidR="004E34BF" w:rsidRPr="00E364DF" w:rsidRDefault="004E34BF" w:rsidP="004E34BF">
            <w:pPr>
              <w:spacing w:line="259" w:lineRule="auto"/>
              <w:ind w:left="0" w:firstLine="0"/>
              <w:jc w:val="both"/>
              <w:rPr>
                <w:szCs w:val="24"/>
              </w:rPr>
            </w:pPr>
            <w:r w:rsidRPr="00E364DF">
              <w:rPr>
                <w:szCs w:val="24"/>
              </w:rPr>
              <w:t>•1416 Sayılı kanun uyarınca yurt dışında görevlendirilen öğrencilerin yazışmalarını yapmak.</w:t>
            </w:r>
          </w:p>
          <w:p w14:paraId="62690722" w14:textId="50CBF3F4" w:rsidR="004E34BF" w:rsidRPr="00E364DF" w:rsidRDefault="004E34BF" w:rsidP="004E34BF">
            <w:pPr>
              <w:spacing w:line="259" w:lineRule="auto"/>
              <w:ind w:left="0" w:firstLine="0"/>
              <w:jc w:val="both"/>
              <w:rPr>
                <w:szCs w:val="24"/>
              </w:rPr>
            </w:pPr>
            <w:r w:rsidRPr="00E364DF">
              <w:rPr>
                <w:szCs w:val="24"/>
              </w:rPr>
              <w:t xml:space="preserve">•Yasa ve Yönetmelikler konusunda soru soran öğrencileri Akademik Danışmanlara </w:t>
            </w:r>
            <w:r w:rsidR="00AC0F7B" w:rsidRPr="00E364DF">
              <w:rPr>
                <w:szCs w:val="24"/>
              </w:rPr>
              <w:t>yönlendirir.</w:t>
            </w:r>
          </w:p>
          <w:p w14:paraId="724394B7" w14:textId="507F2377" w:rsidR="004E34BF" w:rsidRPr="00E364DF" w:rsidRDefault="004E34BF" w:rsidP="004E34BF">
            <w:pPr>
              <w:spacing w:line="259" w:lineRule="auto"/>
              <w:ind w:left="0" w:firstLine="0"/>
              <w:rPr>
                <w:szCs w:val="24"/>
              </w:rPr>
            </w:pPr>
            <w:r w:rsidRPr="00E364DF">
              <w:rPr>
                <w:szCs w:val="24"/>
              </w:rPr>
              <w:t xml:space="preserve">•Yeni kayıt, yatay, dikey geçiş/af kapsamıyla gelen öğrencilerin bir önceki Yükseköğrenim kurumunda aldıkları ve başarılı oldukları derslerin sayılmasına ilişkin durumları komisyonda görüşüldükten sonra komisyon kararı </w:t>
            </w:r>
            <w:r w:rsidR="00534649" w:rsidRPr="00E364DF">
              <w:rPr>
                <w:szCs w:val="24"/>
              </w:rPr>
              <w:t>ile</w:t>
            </w:r>
            <w:r w:rsidRPr="00E364DF">
              <w:rPr>
                <w:szCs w:val="24"/>
              </w:rPr>
              <w:t xml:space="preserve"> bölüm kurul kararını dekanlığa/müdürlüğe bildirir.</w:t>
            </w:r>
          </w:p>
          <w:p w14:paraId="25AD29DE" w14:textId="77777777" w:rsidR="004E34BF" w:rsidRPr="00E364DF" w:rsidRDefault="004E34BF" w:rsidP="004E34BF">
            <w:pPr>
              <w:spacing w:line="259" w:lineRule="auto"/>
              <w:ind w:left="0" w:firstLine="0"/>
              <w:rPr>
                <w:szCs w:val="24"/>
              </w:rPr>
            </w:pPr>
            <w:r w:rsidRPr="00E364DF">
              <w:rPr>
                <w:szCs w:val="24"/>
              </w:rPr>
              <w:t>•Her eğitim öğretim yılı başında ders veren öğretim elemanlarından (eğitim öğretim başlamadan 15 gün öncesinden) ders değerlendirme formlarını imza karşılığında teslim alır ve bölüm başkanın onayına sunar ve ikinci sınav gerektiren dersler ile ilgili bölüm kurul kararını yazar ve ilan eder. Ders yükü formlarını öğretim elemanlarından imza karşılığı teslim alır, bölüm başkanına imzalatır ve dekanlığa/müdürlüğe gönderir.</w:t>
            </w:r>
          </w:p>
          <w:p w14:paraId="7F2BE703" w14:textId="23A1F2FA" w:rsidR="004E34BF" w:rsidRPr="00E364DF" w:rsidRDefault="004E34BF" w:rsidP="004E34BF">
            <w:pPr>
              <w:spacing w:line="259" w:lineRule="auto"/>
              <w:ind w:left="0" w:firstLine="0"/>
              <w:rPr>
                <w:szCs w:val="24"/>
              </w:rPr>
            </w:pPr>
            <w:r w:rsidRPr="00E364DF">
              <w:rPr>
                <w:szCs w:val="24"/>
              </w:rPr>
              <w:t>•Öğretim elemanlarının görev sürelerinin uzatılması için ABD Başkanlığı ve Bölüm Başkanlığının görüşlerini üst yazıyla dekanlığa bildirir. (</w:t>
            </w:r>
            <w:r w:rsidR="00AC0F7B" w:rsidRPr="00E364DF">
              <w:rPr>
                <w:szCs w:val="24"/>
              </w:rPr>
              <w:t>İlgili</w:t>
            </w:r>
            <w:r w:rsidRPr="00E364DF">
              <w:rPr>
                <w:szCs w:val="24"/>
              </w:rPr>
              <w:t xml:space="preserve"> öğretim üyesinin süre uzatım formu ile birlikte dilekçesi alınır)</w:t>
            </w:r>
          </w:p>
          <w:p w14:paraId="524A553A" w14:textId="77777777" w:rsidR="004E34BF" w:rsidRPr="00E364DF" w:rsidRDefault="004E34BF" w:rsidP="004E34BF">
            <w:pPr>
              <w:spacing w:line="259" w:lineRule="auto"/>
              <w:ind w:left="0" w:firstLine="0"/>
              <w:rPr>
                <w:szCs w:val="24"/>
              </w:rPr>
            </w:pPr>
            <w:r w:rsidRPr="00E364DF">
              <w:rPr>
                <w:szCs w:val="24"/>
              </w:rPr>
              <w:t>•Öğretim elemanların yurt içi ve dışı, bilimsel toplantılara katılması, inceleme, araştırma ve uygulama yapmak üzere görevlendirmesi ile ilgili yazışmaları yapar.</w:t>
            </w:r>
          </w:p>
          <w:p w14:paraId="08B464B8" w14:textId="03FFF81E" w:rsidR="004E34BF" w:rsidRPr="00E364DF" w:rsidRDefault="004E34BF" w:rsidP="00AC0F7B">
            <w:pPr>
              <w:tabs>
                <w:tab w:val="left" w:pos="8865"/>
              </w:tabs>
              <w:spacing w:line="259" w:lineRule="auto"/>
              <w:ind w:left="0" w:firstLine="0"/>
              <w:rPr>
                <w:szCs w:val="24"/>
              </w:rPr>
            </w:pPr>
            <w:r w:rsidRPr="00E364DF">
              <w:rPr>
                <w:szCs w:val="24"/>
              </w:rPr>
              <w:t>•Engelli öğrencileri bölüm başkanlığına ve yardımcısına bildirir.</w:t>
            </w:r>
            <w:r w:rsidR="00AC0F7B">
              <w:rPr>
                <w:szCs w:val="24"/>
              </w:rPr>
              <w:tab/>
            </w:r>
          </w:p>
          <w:p w14:paraId="0B88A7BC" w14:textId="1121C5C0" w:rsidR="004E34BF" w:rsidRPr="00E364DF" w:rsidRDefault="004E34BF" w:rsidP="004E34BF">
            <w:pPr>
              <w:spacing w:line="259" w:lineRule="auto"/>
              <w:ind w:left="0" w:firstLine="0"/>
              <w:rPr>
                <w:szCs w:val="24"/>
              </w:rPr>
            </w:pPr>
            <w:r w:rsidRPr="00E364DF">
              <w:rPr>
                <w:szCs w:val="24"/>
              </w:rPr>
              <w:t xml:space="preserve">•Çalışma ortamına iş sağlığı ve güvenliği ile ilgili hususlara dikkat etmek.                                                                                                                                                                                                                                                                                                                              </w:t>
            </w:r>
          </w:p>
          <w:p w14:paraId="14979651" w14:textId="77777777" w:rsidR="004E34BF" w:rsidRPr="00E364DF" w:rsidRDefault="004E34BF" w:rsidP="004E34BF">
            <w:pPr>
              <w:spacing w:line="259" w:lineRule="auto"/>
              <w:ind w:left="0" w:firstLine="0"/>
              <w:rPr>
                <w:szCs w:val="24"/>
              </w:rPr>
            </w:pPr>
            <w:r w:rsidRPr="00E364DF">
              <w:rPr>
                <w:szCs w:val="24"/>
              </w:rPr>
              <w:t>•Lisansüstü programlarla ilgili tüm iş ve işlemlerin yazışmalarını yapar.</w:t>
            </w:r>
          </w:p>
          <w:p w14:paraId="166E4BB0" w14:textId="77777777" w:rsidR="004E34BF" w:rsidRDefault="004E34BF" w:rsidP="004E34BF">
            <w:pPr>
              <w:spacing w:line="259" w:lineRule="auto"/>
              <w:ind w:left="0" w:firstLine="0"/>
              <w:rPr>
                <w:szCs w:val="24"/>
              </w:rPr>
            </w:pPr>
            <w:r w:rsidRPr="00E364DF">
              <w:rPr>
                <w:szCs w:val="24"/>
              </w:rPr>
              <w:t>•Hizmetlerin herhangi bir aşamasında tespit edilen bir uygunsuzluğa yönelik düzeltici ve önleyici faaliyet başlatmak veya başlatılmasını sağlamak.</w:t>
            </w:r>
          </w:p>
          <w:p w14:paraId="205A6380" w14:textId="77777777" w:rsidR="004E34BF" w:rsidRPr="00E364DF" w:rsidRDefault="004E34BF" w:rsidP="004E34BF">
            <w:pPr>
              <w:spacing w:line="259" w:lineRule="auto"/>
              <w:ind w:left="0" w:firstLine="0"/>
              <w:rPr>
                <w:szCs w:val="24"/>
              </w:rPr>
            </w:pPr>
            <w:r w:rsidRPr="00E364DF">
              <w:rPr>
                <w:szCs w:val="24"/>
              </w:rPr>
              <w:t>•</w:t>
            </w:r>
            <w:r w:rsidRPr="00B25322">
              <w:rPr>
                <w:szCs w:val="24"/>
              </w:rPr>
              <w:t xml:space="preserve"> </w:t>
            </w:r>
            <w:r w:rsidRPr="00E364DF">
              <w:rPr>
                <w:szCs w:val="24"/>
              </w:rPr>
              <w:t>Biriminde oluşan tüm kalite kayıtlarının uygun şekilde dosyalanmasını, korunmasını ve bakımının yapılmasını sağlamak.</w:t>
            </w:r>
          </w:p>
          <w:p w14:paraId="1F2857D1" w14:textId="69BDA891" w:rsidR="004E34BF" w:rsidRPr="002E4B2F" w:rsidRDefault="002E4B2F" w:rsidP="002E4B2F">
            <w:pPr>
              <w:spacing w:line="259" w:lineRule="auto"/>
              <w:ind w:left="0" w:firstLine="0"/>
              <w:jc w:val="both"/>
            </w:pPr>
            <w:r w:rsidRPr="002E4B2F">
              <w:t>•Gerekli olduğu takdirde birimi ile ilgili ISO 9001:2015 prosedürlerinin (içeriğinde talimat ve formların) değişikliği ile ilgili/yeni doküman oluşturmakla ilgili talepte bulunmak, bu dokümanların güncelliğini korumasını sağlamak.</w:t>
            </w:r>
          </w:p>
          <w:p w14:paraId="12402688" w14:textId="77777777" w:rsidR="002E4B2F" w:rsidRPr="002E4B2F" w:rsidRDefault="002E4B2F" w:rsidP="002E4B2F">
            <w:pPr>
              <w:spacing w:line="259" w:lineRule="auto"/>
              <w:ind w:left="0" w:firstLine="0"/>
              <w:jc w:val="both"/>
            </w:pPr>
            <w:r w:rsidRPr="002E4B2F">
              <w:t>•İstihdam edildiği birimin hizmet alanına giren konularda kendisine verilen görevleri kanun, tüzük, yönetmelik ve diğer mevzuat hükümleri çerçevesinde yürütmek.</w:t>
            </w:r>
          </w:p>
          <w:p w14:paraId="4212E4C1" w14:textId="77777777" w:rsidR="002E4B2F" w:rsidRPr="002E4B2F" w:rsidRDefault="002E4B2F" w:rsidP="002E4B2F">
            <w:pPr>
              <w:spacing w:line="259" w:lineRule="auto"/>
              <w:ind w:left="0" w:firstLine="0"/>
              <w:jc w:val="both"/>
            </w:pPr>
            <w:r w:rsidRPr="002E4B2F">
              <w:t>•Amirlerince verilecek benzer görevleri yapmak.</w:t>
            </w:r>
          </w:p>
          <w:p w14:paraId="514D7CFA" w14:textId="77777777" w:rsidR="004E34BF" w:rsidRPr="00E364DF" w:rsidRDefault="004E34BF" w:rsidP="004E34BF">
            <w:pPr>
              <w:spacing w:line="259" w:lineRule="auto"/>
              <w:ind w:left="0" w:firstLine="0"/>
              <w:rPr>
                <w:szCs w:val="24"/>
              </w:rPr>
            </w:pPr>
            <w:r w:rsidRPr="00E364DF">
              <w:rPr>
                <w:szCs w:val="24"/>
              </w:rPr>
              <w:lastRenderedPageBreak/>
              <w:t>•Gerekli olduğu takdirde birimi ile ilgili ISO 9001:2015prosedürlerinin (içeriğinde talimat ve formların) değişikliği ile ilgili/yeni doküman oluşturmakla ilgili talepte bulunmak, bu dokümanların güncelliğini korumasını sağlamak.</w:t>
            </w:r>
          </w:p>
          <w:p w14:paraId="24C05970" w14:textId="77777777" w:rsidR="004E34BF" w:rsidRPr="00E364DF" w:rsidRDefault="004E34BF" w:rsidP="004E34BF">
            <w:pPr>
              <w:spacing w:line="259" w:lineRule="auto"/>
              <w:ind w:left="0" w:firstLine="0"/>
              <w:rPr>
                <w:szCs w:val="24"/>
              </w:rPr>
            </w:pPr>
            <w:r w:rsidRPr="00E364DF">
              <w:rPr>
                <w:szCs w:val="24"/>
              </w:rPr>
              <w:t>•Tüm çalışmalarını görev tanımlarına ve ISO 9001:2015 Kalite Güvence Sistemi prosedürlerine uygun olarak gerçekleştirmek, birimindeki tüm personelin de aynı prensiple görev yapmasını sağlamak ve uygulamaları denetlemek.</w:t>
            </w:r>
          </w:p>
          <w:p w14:paraId="0233F6A2" w14:textId="77777777" w:rsidR="004E34BF" w:rsidRPr="00E364DF" w:rsidRDefault="004E34BF" w:rsidP="004E34BF">
            <w:pPr>
              <w:spacing w:line="259" w:lineRule="auto"/>
              <w:ind w:left="0" w:firstLine="0"/>
              <w:rPr>
                <w:szCs w:val="24"/>
              </w:rPr>
            </w:pPr>
            <w:r w:rsidRPr="00E364DF">
              <w:rPr>
                <w:szCs w:val="24"/>
              </w:rPr>
              <w:t>•Bölüm Sekreteri görevlerini yerine getirmekten Fakülte/Enstitü/Yüksekokul/Sekreterine, Anabilim dalı başkanı, dekan yardımcısına karşı sorumludur.</w:t>
            </w:r>
          </w:p>
          <w:p w14:paraId="1E894945" w14:textId="77777777" w:rsidR="004E34BF" w:rsidRPr="00E364DF" w:rsidRDefault="004E34BF" w:rsidP="004E34BF">
            <w:pPr>
              <w:spacing w:line="259" w:lineRule="auto"/>
              <w:ind w:left="0" w:firstLine="0"/>
              <w:rPr>
                <w:szCs w:val="24"/>
              </w:rPr>
            </w:pPr>
            <w:r w:rsidRPr="00E364DF">
              <w:rPr>
                <w:szCs w:val="24"/>
              </w:rPr>
              <w:t>Üst yöneticileri tarafından verilen diğer görevleri yapmak.</w:t>
            </w:r>
          </w:p>
          <w:p w14:paraId="72733D68" w14:textId="69DEA68A" w:rsidR="002E4B2F" w:rsidRDefault="002E4B2F" w:rsidP="002E4B2F">
            <w:pPr>
              <w:ind w:left="0" w:firstLine="0"/>
              <w:jc w:val="both"/>
              <w:rPr>
                <w:b/>
              </w:rPr>
            </w:pPr>
            <w:r w:rsidRPr="002E4B2F">
              <w:t xml:space="preserve">•Görevlerinden dolayı Amirlerine karşı sorumludur.  </w:t>
            </w:r>
          </w:p>
        </w:tc>
      </w:tr>
    </w:tbl>
    <w:p w14:paraId="323B6BAA" w14:textId="05495FBE" w:rsidR="00D104A6" w:rsidRPr="002E4B2F" w:rsidRDefault="00D96FBF" w:rsidP="002E4B2F">
      <w:pPr>
        <w:spacing w:line="259" w:lineRule="auto"/>
        <w:ind w:left="0" w:firstLine="0"/>
        <w:jc w:val="both"/>
      </w:pPr>
      <w:r w:rsidRPr="002E4B2F">
        <w:lastRenderedPageBreak/>
        <w:t xml:space="preserve">  </w:t>
      </w:r>
    </w:p>
    <w:p w14:paraId="06EBA505" w14:textId="2C6CCC82" w:rsidR="00D104A6" w:rsidRPr="002E4B2F" w:rsidRDefault="00D104A6" w:rsidP="002E4B2F">
      <w:pPr>
        <w:spacing w:line="259" w:lineRule="auto"/>
        <w:ind w:left="0" w:firstLine="0"/>
        <w:jc w:val="both"/>
      </w:pPr>
    </w:p>
    <w:tbl>
      <w:tblPr>
        <w:tblStyle w:val="TableGrid"/>
        <w:tblW w:w="10773" w:type="dxa"/>
        <w:tblInd w:w="-15" w:type="dxa"/>
        <w:tblCellMar>
          <w:top w:w="24" w:type="dxa"/>
          <w:left w:w="115" w:type="dxa"/>
          <w:right w:w="115" w:type="dxa"/>
        </w:tblCellMar>
        <w:tblLook w:val="04A0" w:firstRow="1" w:lastRow="0" w:firstColumn="1" w:lastColumn="0" w:noHBand="0" w:noVBand="1"/>
      </w:tblPr>
      <w:tblGrid>
        <w:gridCol w:w="4588"/>
        <w:gridCol w:w="4650"/>
        <w:gridCol w:w="1535"/>
      </w:tblGrid>
      <w:tr w:rsidR="00D104A6" w:rsidRPr="002E4B2F" w14:paraId="30571C6D" w14:textId="77777777" w:rsidTr="002E4B2F">
        <w:trPr>
          <w:trHeight w:val="492"/>
        </w:trPr>
        <w:tc>
          <w:tcPr>
            <w:tcW w:w="4588" w:type="dxa"/>
            <w:tcBorders>
              <w:top w:val="double" w:sz="4" w:space="0" w:color="000000"/>
              <w:left w:val="double" w:sz="4" w:space="0" w:color="000000"/>
              <w:bottom w:val="double" w:sz="4" w:space="0" w:color="000000"/>
              <w:right w:val="double" w:sz="4" w:space="0" w:color="000000"/>
            </w:tcBorders>
          </w:tcPr>
          <w:p w14:paraId="19265F93" w14:textId="77777777" w:rsidR="00D104A6" w:rsidRPr="002E4B2F" w:rsidRDefault="002E4B2F" w:rsidP="00204117">
            <w:pPr>
              <w:spacing w:line="259" w:lineRule="auto"/>
              <w:ind w:right="1478"/>
              <w:jc w:val="both"/>
            </w:pPr>
            <w:r w:rsidRPr="002E4B2F">
              <w:rPr>
                <w:sz w:val="20"/>
              </w:rPr>
              <w:t xml:space="preserve">Hazırlayan Kalite Sorumlusu </w:t>
            </w:r>
          </w:p>
        </w:tc>
        <w:tc>
          <w:tcPr>
            <w:tcW w:w="4650" w:type="dxa"/>
            <w:tcBorders>
              <w:top w:val="double" w:sz="4" w:space="0" w:color="000000"/>
              <w:left w:val="double" w:sz="4" w:space="0" w:color="000000"/>
              <w:bottom w:val="double" w:sz="4" w:space="0" w:color="000000"/>
              <w:right w:val="double" w:sz="4" w:space="0" w:color="000000"/>
            </w:tcBorders>
          </w:tcPr>
          <w:p w14:paraId="702D4B10" w14:textId="77777777" w:rsidR="00D104A6" w:rsidRPr="002E4B2F" w:rsidRDefault="002E4B2F" w:rsidP="00204117">
            <w:pPr>
              <w:spacing w:line="259" w:lineRule="auto"/>
              <w:ind w:right="1494"/>
              <w:jc w:val="both"/>
            </w:pPr>
            <w:r w:rsidRPr="002E4B2F">
              <w:rPr>
                <w:sz w:val="20"/>
              </w:rPr>
              <w:t xml:space="preserve">Onaylayan Birim Yöneticisi </w:t>
            </w:r>
          </w:p>
        </w:tc>
        <w:tc>
          <w:tcPr>
            <w:tcW w:w="1535" w:type="dxa"/>
            <w:vMerge w:val="restart"/>
            <w:tcBorders>
              <w:top w:val="double" w:sz="4" w:space="0" w:color="000000"/>
              <w:left w:val="double" w:sz="4" w:space="0" w:color="000000"/>
              <w:bottom w:val="double" w:sz="4" w:space="0" w:color="000000"/>
              <w:right w:val="double" w:sz="4" w:space="0" w:color="000000"/>
            </w:tcBorders>
            <w:vAlign w:val="center"/>
          </w:tcPr>
          <w:p w14:paraId="14A59BA7" w14:textId="76E1070F" w:rsidR="00D104A6" w:rsidRPr="002E4B2F" w:rsidRDefault="002E4B2F" w:rsidP="00204117">
            <w:pPr>
              <w:spacing w:line="259" w:lineRule="auto"/>
              <w:ind w:left="0" w:firstLine="0"/>
              <w:jc w:val="center"/>
            </w:pPr>
            <w:r w:rsidRPr="002E4B2F">
              <w:rPr>
                <w:b/>
                <w:sz w:val="20"/>
              </w:rPr>
              <w:t>Sayfa No</w:t>
            </w:r>
          </w:p>
          <w:p w14:paraId="30510C71" w14:textId="7A127C0F" w:rsidR="00D104A6" w:rsidRPr="002E4B2F" w:rsidRDefault="002E4B2F" w:rsidP="00204117">
            <w:pPr>
              <w:spacing w:line="259" w:lineRule="auto"/>
              <w:ind w:left="1" w:firstLine="0"/>
              <w:jc w:val="center"/>
            </w:pPr>
            <w:r w:rsidRPr="002E4B2F">
              <w:rPr>
                <w:b/>
                <w:sz w:val="18"/>
              </w:rPr>
              <w:t>2/2</w:t>
            </w:r>
          </w:p>
        </w:tc>
      </w:tr>
      <w:tr w:rsidR="00D104A6" w:rsidRPr="002E4B2F" w14:paraId="28D21838" w14:textId="77777777" w:rsidTr="002E4B2F">
        <w:trPr>
          <w:trHeight w:val="787"/>
        </w:trPr>
        <w:tc>
          <w:tcPr>
            <w:tcW w:w="4588" w:type="dxa"/>
            <w:tcBorders>
              <w:top w:val="double" w:sz="4" w:space="0" w:color="000000"/>
              <w:left w:val="double" w:sz="4" w:space="0" w:color="000000"/>
              <w:bottom w:val="double" w:sz="4" w:space="0" w:color="000000"/>
              <w:right w:val="double" w:sz="4" w:space="0" w:color="000000"/>
            </w:tcBorders>
          </w:tcPr>
          <w:p w14:paraId="18EA3F1E" w14:textId="77777777" w:rsidR="00D104A6" w:rsidRPr="002E4B2F" w:rsidRDefault="002E4B2F" w:rsidP="002E4B2F">
            <w:pPr>
              <w:spacing w:line="259" w:lineRule="auto"/>
              <w:ind w:left="50" w:firstLine="0"/>
              <w:jc w:val="both"/>
            </w:pPr>
            <w:r w:rsidRPr="002E4B2F">
              <w:rPr>
                <w:sz w:val="20"/>
              </w:rPr>
              <w:t xml:space="preserve"> </w:t>
            </w:r>
          </w:p>
        </w:tc>
        <w:tc>
          <w:tcPr>
            <w:tcW w:w="4650" w:type="dxa"/>
            <w:tcBorders>
              <w:top w:val="double" w:sz="4" w:space="0" w:color="000000"/>
              <w:left w:val="double" w:sz="4" w:space="0" w:color="000000"/>
              <w:bottom w:val="double" w:sz="4" w:space="0" w:color="000000"/>
              <w:right w:val="double" w:sz="4" w:space="0" w:color="000000"/>
            </w:tcBorders>
          </w:tcPr>
          <w:p w14:paraId="6D841A3E" w14:textId="77777777" w:rsidR="00D104A6" w:rsidRPr="002E4B2F" w:rsidRDefault="002E4B2F" w:rsidP="002E4B2F">
            <w:pPr>
              <w:spacing w:line="259" w:lineRule="auto"/>
              <w:ind w:left="47" w:firstLine="0"/>
              <w:jc w:val="both"/>
            </w:pPr>
            <w:r w:rsidRPr="002E4B2F">
              <w:rPr>
                <w:sz w:val="20"/>
              </w:rPr>
              <w:t xml:space="preserve"> </w:t>
            </w:r>
          </w:p>
        </w:tc>
        <w:tc>
          <w:tcPr>
            <w:tcW w:w="1535" w:type="dxa"/>
            <w:vMerge/>
            <w:tcBorders>
              <w:top w:val="nil"/>
              <w:left w:val="double" w:sz="4" w:space="0" w:color="000000"/>
              <w:bottom w:val="double" w:sz="4" w:space="0" w:color="000000"/>
              <w:right w:val="double" w:sz="4" w:space="0" w:color="000000"/>
            </w:tcBorders>
          </w:tcPr>
          <w:p w14:paraId="7FEFAD23" w14:textId="77777777" w:rsidR="00D104A6" w:rsidRPr="002E4B2F" w:rsidRDefault="00D104A6" w:rsidP="002E4B2F">
            <w:pPr>
              <w:spacing w:after="160" w:line="259" w:lineRule="auto"/>
              <w:ind w:left="0" w:firstLine="0"/>
              <w:jc w:val="both"/>
            </w:pPr>
          </w:p>
        </w:tc>
      </w:tr>
    </w:tbl>
    <w:p w14:paraId="608159B5" w14:textId="77777777" w:rsidR="00204117" w:rsidRDefault="00204117" w:rsidP="00204117">
      <w:pPr>
        <w:pStyle w:val="Balk1"/>
        <w:ind w:left="0" w:firstLine="0"/>
        <w:jc w:val="both"/>
      </w:pPr>
    </w:p>
    <w:p w14:paraId="14A07AD9" w14:textId="77777777" w:rsidR="00204117" w:rsidRDefault="00204117" w:rsidP="00204117">
      <w:pPr>
        <w:pStyle w:val="Balk1"/>
        <w:ind w:left="0" w:firstLine="0"/>
        <w:jc w:val="both"/>
      </w:pPr>
    </w:p>
    <w:p w14:paraId="1EF7E39A" w14:textId="6B959745" w:rsidR="00D104A6" w:rsidRPr="002E4B2F" w:rsidRDefault="002E4B2F" w:rsidP="00204117">
      <w:pPr>
        <w:pStyle w:val="Balk1"/>
        <w:ind w:left="0" w:firstLine="0"/>
        <w:jc w:val="both"/>
      </w:pPr>
      <w:r w:rsidRPr="002E4B2F">
        <w:t xml:space="preserve">FRM-02/00 </w:t>
      </w:r>
    </w:p>
    <w:p w14:paraId="26E35AD2" w14:textId="77777777" w:rsidR="00D104A6" w:rsidRPr="002E4B2F" w:rsidRDefault="002E4B2F" w:rsidP="002E4B2F">
      <w:pPr>
        <w:spacing w:after="168" w:line="259" w:lineRule="auto"/>
        <w:ind w:left="0" w:firstLine="0"/>
        <w:jc w:val="both"/>
      </w:pPr>
      <w:r w:rsidRPr="002E4B2F">
        <w:rPr>
          <w:sz w:val="2"/>
        </w:rPr>
        <w:t xml:space="preserve"> </w:t>
      </w:r>
    </w:p>
    <w:p w14:paraId="7B1FF5E3" w14:textId="77777777" w:rsidR="00D104A6" w:rsidRPr="002E4B2F" w:rsidRDefault="002E4B2F" w:rsidP="002E4B2F">
      <w:pPr>
        <w:spacing w:line="259" w:lineRule="auto"/>
        <w:ind w:left="0" w:firstLine="0"/>
        <w:jc w:val="both"/>
      </w:pPr>
      <w:r w:rsidRPr="002E4B2F">
        <w:rPr>
          <w:sz w:val="20"/>
        </w:rPr>
        <w:lastRenderedPageBreak/>
        <w:t xml:space="preserve"> </w:t>
      </w:r>
    </w:p>
    <w:sectPr w:rsidR="00D104A6" w:rsidRPr="002E4B2F">
      <w:pgSz w:w="11906" w:h="16838"/>
      <w:pgMar w:top="524" w:right="694" w:bottom="622"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841"/>
    <w:multiLevelType w:val="hybridMultilevel"/>
    <w:tmpl w:val="588A2A3E"/>
    <w:lvl w:ilvl="0" w:tplc="758C13A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FA7C2A"/>
    <w:multiLevelType w:val="hybridMultilevel"/>
    <w:tmpl w:val="3FE6CB88"/>
    <w:lvl w:ilvl="0" w:tplc="758C13A2">
      <w:start w:val="1"/>
      <w:numFmt w:val="bullet"/>
      <w:lvlText w:val="•"/>
      <w:lvlJc w:val="left"/>
      <w:pPr>
        <w:ind w:left="532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6042" w:hanging="360"/>
      </w:pPr>
      <w:rPr>
        <w:rFonts w:ascii="Courier New" w:hAnsi="Courier New" w:cs="Courier New" w:hint="default"/>
      </w:rPr>
    </w:lvl>
    <w:lvl w:ilvl="2" w:tplc="041F0005" w:tentative="1">
      <w:start w:val="1"/>
      <w:numFmt w:val="bullet"/>
      <w:lvlText w:val=""/>
      <w:lvlJc w:val="left"/>
      <w:pPr>
        <w:ind w:left="6762" w:hanging="360"/>
      </w:pPr>
      <w:rPr>
        <w:rFonts w:ascii="Wingdings" w:hAnsi="Wingdings" w:hint="default"/>
      </w:rPr>
    </w:lvl>
    <w:lvl w:ilvl="3" w:tplc="041F0001" w:tentative="1">
      <w:start w:val="1"/>
      <w:numFmt w:val="bullet"/>
      <w:lvlText w:val=""/>
      <w:lvlJc w:val="left"/>
      <w:pPr>
        <w:ind w:left="7482" w:hanging="360"/>
      </w:pPr>
      <w:rPr>
        <w:rFonts w:ascii="Symbol" w:hAnsi="Symbol" w:hint="default"/>
      </w:rPr>
    </w:lvl>
    <w:lvl w:ilvl="4" w:tplc="041F0003" w:tentative="1">
      <w:start w:val="1"/>
      <w:numFmt w:val="bullet"/>
      <w:lvlText w:val="o"/>
      <w:lvlJc w:val="left"/>
      <w:pPr>
        <w:ind w:left="8202" w:hanging="360"/>
      </w:pPr>
      <w:rPr>
        <w:rFonts w:ascii="Courier New" w:hAnsi="Courier New" w:cs="Courier New" w:hint="default"/>
      </w:rPr>
    </w:lvl>
    <w:lvl w:ilvl="5" w:tplc="041F0005" w:tentative="1">
      <w:start w:val="1"/>
      <w:numFmt w:val="bullet"/>
      <w:lvlText w:val=""/>
      <w:lvlJc w:val="left"/>
      <w:pPr>
        <w:ind w:left="8922" w:hanging="360"/>
      </w:pPr>
      <w:rPr>
        <w:rFonts w:ascii="Wingdings" w:hAnsi="Wingdings" w:hint="default"/>
      </w:rPr>
    </w:lvl>
    <w:lvl w:ilvl="6" w:tplc="041F0001" w:tentative="1">
      <w:start w:val="1"/>
      <w:numFmt w:val="bullet"/>
      <w:lvlText w:val=""/>
      <w:lvlJc w:val="left"/>
      <w:pPr>
        <w:ind w:left="9642" w:hanging="360"/>
      </w:pPr>
      <w:rPr>
        <w:rFonts w:ascii="Symbol" w:hAnsi="Symbol" w:hint="default"/>
      </w:rPr>
    </w:lvl>
    <w:lvl w:ilvl="7" w:tplc="041F0003" w:tentative="1">
      <w:start w:val="1"/>
      <w:numFmt w:val="bullet"/>
      <w:lvlText w:val="o"/>
      <w:lvlJc w:val="left"/>
      <w:pPr>
        <w:ind w:left="10362" w:hanging="360"/>
      </w:pPr>
      <w:rPr>
        <w:rFonts w:ascii="Courier New" w:hAnsi="Courier New" w:cs="Courier New" w:hint="default"/>
      </w:rPr>
    </w:lvl>
    <w:lvl w:ilvl="8" w:tplc="041F0005" w:tentative="1">
      <w:start w:val="1"/>
      <w:numFmt w:val="bullet"/>
      <w:lvlText w:val=""/>
      <w:lvlJc w:val="left"/>
      <w:pPr>
        <w:ind w:left="11082" w:hanging="360"/>
      </w:pPr>
      <w:rPr>
        <w:rFonts w:ascii="Wingdings" w:hAnsi="Wingdings" w:hint="default"/>
      </w:rPr>
    </w:lvl>
  </w:abstractNum>
  <w:abstractNum w:abstractNumId="2" w15:restartNumberingAfterBreak="0">
    <w:nsid w:val="7569144C"/>
    <w:multiLevelType w:val="hybridMultilevel"/>
    <w:tmpl w:val="D590A988"/>
    <w:lvl w:ilvl="0" w:tplc="758C13A2">
      <w:start w:val="1"/>
      <w:numFmt w:val="bullet"/>
      <w:lvlText w:val="•"/>
      <w:lvlJc w:val="left"/>
      <w:pPr>
        <w:ind w:left="1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B217C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5895E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86505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B64892">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24FE7E">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6AB6E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427042">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BCF96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4A6"/>
    <w:rsid w:val="00204117"/>
    <w:rsid w:val="00272373"/>
    <w:rsid w:val="002E4B2F"/>
    <w:rsid w:val="0049649C"/>
    <w:rsid w:val="004E34BF"/>
    <w:rsid w:val="00534649"/>
    <w:rsid w:val="005879EA"/>
    <w:rsid w:val="00943C2B"/>
    <w:rsid w:val="00AC0F7B"/>
    <w:rsid w:val="00D104A6"/>
    <w:rsid w:val="00D96FBF"/>
    <w:rsid w:val="00E715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A797"/>
  <w15:docId w15:val="{1129ACE0-706E-4698-83B7-4443372B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BF"/>
    <w:pPr>
      <w:spacing w:after="0" w:line="270" w:lineRule="auto"/>
      <w:ind w:left="10" w:hanging="10"/>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0"/>
      <w:ind w:left="10" w:hanging="10"/>
      <w:outlineLvl w:val="0"/>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D96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685</Words>
  <Characters>3909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Atakan</cp:lastModifiedBy>
  <cp:revision>9</cp:revision>
  <cp:lastPrinted>2025-05-16T12:06:00Z</cp:lastPrinted>
  <dcterms:created xsi:type="dcterms:W3CDTF">2025-05-16T10:35:00Z</dcterms:created>
  <dcterms:modified xsi:type="dcterms:W3CDTF">2025-05-16T12:11:00Z</dcterms:modified>
</cp:coreProperties>
</file>